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DD" w:rsidRPr="003A2AB9" w:rsidRDefault="00383FDD" w:rsidP="00383FDD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383FDD" w:rsidRPr="003A2AB9" w:rsidRDefault="00383FDD" w:rsidP="00383FDD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 работы со студентами </w:t>
      </w:r>
      <w:r>
        <w:rPr>
          <w:rFonts w:ascii="Times New Roman" w:hAnsi="Times New Roman" w:cs="Times New Roman"/>
          <w:b/>
          <w:bCs/>
          <w:sz w:val="24"/>
          <w:szCs w:val="24"/>
        </w:rPr>
        <w:t>на 18</w:t>
      </w:r>
      <w:r w:rsidRPr="003A2AB9">
        <w:rPr>
          <w:rFonts w:ascii="Times New Roman" w:hAnsi="Times New Roman" w:cs="Times New Roman"/>
          <w:b/>
          <w:bCs/>
          <w:sz w:val="24"/>
          <w:szCs w:val="24"/>
        </w:rPr>
        <w:t xml:space="preserve">.11.2020г. </w:t>
      </w:r>
    </w:p>
    <w:p w:rsidR="00383FDD" w:rsidRPr="003A2AB9" w:rsidRDefault="00383FDD" w:rsidP="00383FDD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указывается учебный период (при организации текущего контроля успеваемости) </w:t>
      </w:r>
    </w:p>
    <w:p w:rsidR="00383FDD" w:rsidRPr="003A2AB9" w:rsidRDefault="00383FDD" w:rsidP="00383FDD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2AB9">
        <w:rPr>
          <w:rFonts w:ascii="Times New Roman" w:hAnsi="Times New Roman" w:cs="Times New Roman"/>
          <w:sz w:val="24"/>
          <w:szCs w:val="24"/>
        </w:rPr>
        <w:t>Преподаватель___Бритнер</w:t>
      </w:r>
      <w:proofErr w:type="spellEnd"/>
      <w:r w:rsidRPr="003A2AB9">
        <w:rPr>
          <w:rFonts w:ascii="Times New Roman" w:hAnsi="Times New Roman" w:cs="Times New Roman"/>
          <w:sz w:val="24"/>
          <w:szCs w:val="24"/>
        </w:rPr>
        <w:t xml:space="preserve"> Римма Александровна______________________</w:t>
      </w:r>
    </w:p>
    <w:p w:rsidR="00383FDD" w:rsidRPr="003A2AB9" w:rsidRDefault="00383FDD" w:rsidP="00383FDD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(Ф.И.О.)</w:t>
      </w:r>
    </w:p>
    <w:p w:rsidR="00383FDD" w:rsidRPr="003A2AB9" w:rsidRDefault="00383FDD" w:rsidP="00383FDD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FDD" w:rsidRPr="003A2AB9" w:rsidRDefault="00383FDD" w:rsidP="00383FDD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2AB9">
        <w:rPr>
          <w:rFonts w:ascii="Times New Roman" w:hAnsi="Times New Roman" w:cs="Times New Roman"/>
          <w:sz w:val="24"/>
          <w:szCs w:val="24"/>
        </w:rPr>
        <w:t>_ курс___</w:t>
      </w:r>
      <w:r w:rsidRPr="003A2AB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3A2AB9">
        <w:rPr>
          <w:rFonts w:ascii="Times New Roman" w:hAnsi="Times New Roman" w:cs="Times New Roman"/>
          <w:sz w:val="24"/>
          <w:szCs w:val="24"/>
        </w:rPr>
        <w:t>_____группа</w:t>
      </w:r>
    </w:p>
    <w:p w:rsidR="00383FDD" w:rsidRPr="003A2AB9" w:rsidRDefault="00383FDD" w:rsidP="00383FDD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>профессия</w:t>
      </w:r>
      <w:r w:rsidRPr="003A2AB9">
        <w:rPr>
          <w:rFonts w:ascii="Times New Roman" w:hAnsi="Times New Roman" w:cs="Times New Roman"/>
          <w:b/>
          <w:sz w:val="24"/>
          <w:szCs w:val="24"/>
        </w:rPr>
        <w:t>___  «</w:t>
      </w:r>
      <w:r>
        <w:rPr>
          <w:rFonts w:ascii="Times New Roman" w:hAnsi="Times New Roman" w:cs="Times New Roman"/>
          <w:b/>
          <w:sz w:val="24"/>
          <w:szCs w:val="24"/>
        </w:rPr>
        <w:t>Продавец, контролер-кассир</w:t>
      </w:r>
      <w:r w:rsidRPr="003A2AB9">
        <w:rPr>
          <w:rFonts w:ascii="Times New Roman" w:hAnsi="Times New Roman" w:cs="Times New Roman"/>
          <w:b/>
          <w:sz w:val="24"/>
          <w:szCs w:val="24"/>
        </w:rPr>
        <w:t>»________________</w:t>
      </w:r>
    </w:p>
    <w:p w:rsidR="00383FDD" w:rsidRPr="003A2AB9" w:rsidRDefault="00383FDD" w:rsidP="00383FDD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83FDD" w:rsidRPr="003A2AB9" w:rsidRDefault="00383FDD" w:rsidP="00383FDD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3A2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DD" w:rsidRPr="003A2AB9" w:rsidRDefault="00383FDD" w:rsidP="00383FDD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1583"/>
        <w:gridCol w:w="1418"/>
        <w:gridCol w:w="1665"/>
        <w:gridCol w:w="2162"/>
        <w:gridCol w:w="1134"/>
        <w:gridCol w:w="2694"/>
      </w:tblGrid>
      <w:tr w:rsidR="00383FDD" w:rsidRPr="003A2AB9" w:rsidTr="0095067B">
        <w:tc>
          <w:tcPr>
            <w:tcW w:w="793" w:type="dxa"/>
            <w:vMerge w:val="restart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учебным материалом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каждой теме</w:t>
            </w:r>
          </w:p>
          <w:p w:rsidR="00383FDD" w:rsidRPr="003A2AB9" w:rsidRDefault="00383FDD" w:rsidP="0095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83FDD" w:rsidRPr="003A2AB9" w:rsidRDefault="00383FDD" w:rsidP="0095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(результативность)</w:t>
            </w:r>
          </w:p>
          <w:p w:rsidR="00383FDD" w:rsidRPr="003A2AB9" w:rsidRDefault="00383FDD" w:rsidP="009506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DD" w:rsidRPr="003A2AB9" w:rsidTr="0095067B">
        <w:tc>
          <w:tcPr>
            <w:tcW w:w="793" w:type="dxa"/>
            <w:vMerge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Используемый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proofErr w:type="gramEnd"/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DD" w:rsidRPr="003A2AB9" w:rsidTr="0095067B">
        <w:tc>
          <w:tcPr>
            <w:tcW w:w="793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83" w:type="dxa"/>
            <w:shd w:val="clear" w:color="auto" w:fill="auto"/>
          </w:tcPr>
          <w:p w:rsidR="00383FDD" w:rsidRPr="00383FDD" w:rsidRDefault="00383FDD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D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117</w:t>
            </w:r>
          </w:p>
          <w:p w:rsidR="00383FDD" w:rsidRPr="00383FDD" w:rsidRDefault="00383FDD" w:rsidP="0038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D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Обычаи, традиции, поверья народов России и </w:t>
            </w:r>
            <w:proofErr w:type="spellStart"/>
            <w:r w:rsidRPr="00383FD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383FD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  <w:r w:rsidRPr="00383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383FDD" w:rsidRPr="003A2AB9" w:rsidRDefault="00383FDD" w:rsidP="00383F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.11.2020</w:t>
            </w:r>
          </w:p>
        </w:tc>
        <w:tc>
          <w:tcPr>
            <w:tcW w:w="2162" w:type="dxa"/>
            <w:shd w:val="clear" w:color="auto" w:fill="auto"/>
          </w:tcPr>
          <w:p w:rsidR="00383FDD" w:rsidRPr="003A2AB9" w:rsidRDefault="00383FDD" w:rsidP="00383FD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94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DD" w:rsidRPr="003A2AB9" w:rsidTr="0095067B">
        <w:tc>
          <w:tcPr>
            <w:tcW w:w="793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3" w:type="dxa"/>
            <w:shd w:val="clear" w:color="auto" w:fill="auto"/>
          </w:tcPr>
          <w:p w:rsidR="00383FDD" w:rsidRPr="00383FDD" w:rsidRDefault="00383FDD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D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118</w:t>
            </w:r>
          </w:p>
          <w:p w:rsidR="00383FDD" w:rsidRPr="00383FDD" w:rsidRDefault="00383FDD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D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Обычаи, традиции, поверья народов России и </w:t>
            </w:r>
            <w:proofErr w:type="spellStart"/>
            <w:r w:rsidRPr="00383FD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383FD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  <w:proofErr w:type="gramStart"/>
            <w:r w:rsidRPr="00383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F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83FDD">
              <w:rPr>
                <w:rFonts w:ascii="Times New Roman" w:hAnsi="Times New Roman" w:cs="Times New Roman"/>
                <w:sz w:val="24"/>
                <w:szCs w:val="24"/>
              </w:rPr>
              <w:t xml:space="preserve"> Артикль)</w:t>
            </w:r>
          </w:p>
        </w:tc>
        <w:tc>
          <w:tcPr>
            <w:tcW w:w="1418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A2AB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383FDD" w:rsidRPr="003A2AB9" w:rsidRDefault="00383FDD" w:rsidP="00383FDD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.11.2020</w:t>
            </w:r>
          </w:p>
        </w:tc>
        <w:tc>
          <w:tcPr>
            <w:tcW w:w="2162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383FDD" w:rsidRPr="003A2AB9" w:rsidRDefault="00383FDD" w:rsidP="0095067B">
            <w:pPr>
              <w:adjustRightInd w:val="0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2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</w:t>
            </w:r>
          </w:p>
        </w:tc>
        <w:tc>
          <w:tcPr>
            <w:tcW w:w="2694" w:type="dxa"/>
            <w:shd w:val="clear" w:color="auto" w:fill="auto"/>
          </w:tcPr>
          <w:p w:rsidR="00383FDD" w:rsidRPr="003A2AB9" w:rsidRDefault="00383FDD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DD" w:rsidRPr="003A2AB9" w:rsidTr="0095067B">
        <w:tc>
          <w:tcPr>
            <w:tcW w:w="793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3FDD" w:rsidRPr="003A2AB9" w:rsidRDefault="00383FDD" w:rsidP="0095067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83FDD" w:rsidRPr="003A2AB9" w:rsidRDefault="00383FDD" w:rsidP="0095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3FDD" w:rsidRDefault="00383FDD" w:rsidP="00383FDD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3FDD" w:rsidRDefault="00383FDD" w:rsidP="00383FDD">
      <w:pPr>
        <w:shd w:val="clear" w:color="auto" w:fill="FFFFFF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3FDD" w:rsidRPr="00383FDD" w:rsidRDefault="00383FDD" w:rsidP="00383FDD">
      <w:pPr>
        <w:shd w:val="clear" w:color="auto" w:fill="FFFFFF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Практическое занятие №11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</w:p>
    <w:p w:rsidR="00383FDD" w:rsidRPr="00D12725" w:rsidRDefault="00383FDD" w:rsidP="00383FDD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12725">
        <w:rPr>
          <w:rFonts w:ascii="Times New Roman" w:hAnsi="Times New Roman"/>
          <w:b/>
          <w:bCs/>
          <w:sz w:val="24"/>
          <w:szCs w:val="24"/>
        </w:rPr>
        <w:t xml:space="preserve">Цель работы: </w:t>
      </w:r>
      <w:r w:rsidRPr="00D12725">
        <w:rPr>
          <w:rFonts w:ascii="Times New Roman" w:hAnsi="Times New Roman"/>
          <w:bCs/>
          <w:sz w:val="24"/>
          <w:szCs w:val="24"/>
        </w:rPr>
        <w:t>Закрепить навыки чтения и перевода, пополнить свою лексику.</w:t>
      </w:r>
    </w:p>
    <w:p w:rsidR="00383FDD" w:rsidRPr="00D12725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12725">
        <w:rPr>
          <w:rFonts w:ascii="Times New Roman" w:hAnsi="Times New Roman"/>
          <w:b/>
          <w:sz w:val="24"/>
          <w:szCs w:val="24"/>
        </w:rPr>
        <w:t>Выполнение работы:</w:t>
      </w:r>
    </w:p>
    <w:p w:rsidR="00383FDD" w:rsidRPr="00D12725" w:rsidRDefault="00383FDD" w:rsidP="00383FD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Перепишите текст и п</w:t>
      </w:r>
      <w:r w:rsidRPr="00D12725">
        <w:rPr>
          <w:rFonts w:ascii="Times New Roman" w:hAnsi="Times New Roman"/>
          <w:sz w:val="24"/>
          <w:szCs w:val="24"/>
        </w:rPr>
        <w:t>ереведите на русский язык:</w:t>
      </w:r>
    </w:p>
    <w:p w:rsidR="00383FDD" w:rsidRDefault="00383FDD" w:rsidP="00383FDD">
      <w:pPr>
        <w:shd w:val="clear" w:color="auto" w:fill="FFFFFF"/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83FDD" w:rsidRPr="00383FDD" w:rsidRDefault="00383FDD" w:rsidP="00383FDD">
      <w:pPr>
        <w:spacing w:before="347" w:after="173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</w:pPr>
      <w:r w:rsidRPr="00383F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Русские</w:t>
      </w:r>
      <w:r w:rsidRPr="00383F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/>
        </w:rPr>
        <w:t xml:space="preserve"> </w:t>
      </w:r>
      <w:r w:rsidRPr="00383F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традиции</w:t>
      </w:r>
    </w:p>
    <w:p w:rsidR="00383FDD" w:rsidRPr="00383FDD" w:rsidRDefault="00383FDD" w:rsidP="00383F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Russland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traditionsreiches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Land. Es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gibt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mehrere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gesetzliche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Feiertage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zudem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einige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religiöse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Feiertage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Ehren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Gedenktage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br/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Zu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den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religiösen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festen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gehören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Weihnachten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Ostern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Pfingsten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Als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Nationalfeiertage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dienen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Tag des Sieges, Tag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Russlands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(12.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Juni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), Tag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Einheit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Volkes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Sehr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beliebt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bei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den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Russen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sind</w:t>
      </w:r>
      <w:proofErr w:type="spellEnd"/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Tag des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Verteidigers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Vaterlandes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Internationaler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Frauentag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Jedes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Fest hat seine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Gebräuche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Traditionen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Besonderheiten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Feierns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br/>
      </w:r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In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Russland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haben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Weihnachten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Silvester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Plätze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getauscht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Weihnachten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fällt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auf den 7.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Januar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wird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also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nach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Silvester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gefeiert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Das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wichtigste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Ereignis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Abends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vor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Weihnachten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stundenlanger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Gottesdienst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viel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Gesang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schöne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Lichter-Prozession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Weihnachten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gibt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in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Russland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normalerweiser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keine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Bescherung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br/>
        <w:t xml:space="preserve">In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Russland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Ostern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das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größte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schönste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religiöse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Ereignis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im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Jahr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Mehrere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strömen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in die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Kirchen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um </w:t>
      </w:r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festlichen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Messe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teilzunehmen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Gottesdienst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endet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am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früheren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Morgen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einem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Gang um das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Kreuz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Ostersonntag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beginnt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einem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Familienfrühstück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Auf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dem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Festtafel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stehen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Osterbrot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spezieller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Quarkkuchen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Paskha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farbige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viele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andere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Leckereien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br/>
        <w:t xml:space="preserve">7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Wochen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vor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Ostern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feiert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man die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Masleniza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symbolisiert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Anfang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Frühlings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Während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Butterwoche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isst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man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Pfannkuchen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Am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letzten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Tag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wird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in den Parks,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Schulen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Straßen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lustig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gefeiert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: Man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fährt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Troika,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macht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Schneeballschlachten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baut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Eisskulpturen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br/>
        <w:t xml:space="preserve">Das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beliebteste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Fest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aller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Russen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das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Neujahr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Silvesterabend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fängt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für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viele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russische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Familien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ungefähr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um 22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Uhr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zu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Hause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Freunden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Verwandten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am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reich</w:t>
      </w:r>
      <w:proofErr w:type="spellEnd"/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gedeckten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Tisch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an.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Während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Essens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wird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das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alte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Jahr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verabschiedet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Kurz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vor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12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wird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dem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russischen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Volk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vom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Präsidenten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gratuliert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nach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Mitternacht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geht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Silvester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-Party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richtig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los.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Alle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beschenken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gegenseitig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zu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Kindern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kommt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Väterchen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Frost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seiner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Enkelin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Schneeflöckchen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Kinder</w:t>
      </w:r>
      <w:proofErr w:type="gram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tanzen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um den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Weihnachtsbaum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tragen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Gedichte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vor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singen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um die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Geschenke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zu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verdienen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proofErr w:type="gram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Diese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Feste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finde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ich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besonders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attraktiv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spannend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würde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meine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deutsche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Freunde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dazu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einladen</w:t>
      </w:r>
      <w:proofErr w:type="spellEnd"/>
      <w:r w:rsidRPr="00383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383FDD" w:rsidRPr="00383FDD" w:rsidRDefault="00383FDD" w:rsidP="00383FDD">
      <w:pPr>
        <w:shd w:val="clear" w:color="auto" w:fill="FFFFFF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383FDD" w:rsidRPr="00383FDD" w:rsidRDefault="00383FDD" w:rsidP="00383FDD">
      <w:pPr>
        <w:shd w:val="clear" w:color="auto" w:fill="FFFFFF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Практическое занятие №11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</w:p>
    <w:p w:rsidR="00383FDD" w:rsidRPr="00383FDD" w:rsidRDefault="00383FDD" w:rsidP="00383FDD">
      <w:pPr>
        <w:spacing w:before="204"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 «Артикли</w:t>
      </w:r>
      <w:proofErr w:type="gramStart"/>
      <w:r w:rsidRPr="00383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.»</w:t>
      </w:r>
      <w:proofErr w:type="gramEnd"/>
    </w:p>
    <w:p w:rsidR="00383FDD" w:rsidRPr="00383FDD" w:rsidRDefault="00383FDD" w:rsidP="00383FDD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работы: </w:t>
      </w:r>
      <w:r w:rsidRPr="0038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Закрепить навыки чтения и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еревода, пополнить свою лексику, закрепить грамматические навыки.</w:t>
      </w:r>
    </w:p>
    <w:p w:rsidR="00383FDD" w:rsidRP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Выполнение работы:</w:t>
      </w:r>
    </w:p>
    <w:p w:rsid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Поставьте существительные, заключенные в скобки, в требуемом числе и падеже: </w:t>
      </w:r>
    </w:p>
    <w:p w:rsid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Die Diplomarbeit (der Student) war ausgezeichnet. </w:t>
      </w:r>
    </w:p>
    <w:p w:rsid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2. Der Mantel (das Mädchen) ist neu. </w:t>
      </w:r>
    </w:p>
    <w:p w:rsid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3. Du hilfst immer (die Mitschüler). </w:t>
      </w:r>
    </w:p>
    <w:p w:rsid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4. Die Erzählung (der Reisende) ist interessant. </w:t>
      </w:r>
    </w:p>
    <w:p w:rsid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5. Der Professor lobt (der Fernstudent). </w:t>
      </w:r>
    </w:p>
    <w:p w:rsid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6. Die Eroberung (der Weltraum) war nicht leicht. </w:t>
      </w:r>
    </w:p>
    <w:p w:rsid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7. Er schreibt (die Eltern) einen ausführlichen Brief. </w:t>
      </w:r>
    </w:p>
    <w:p w:rsid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8. Die Bibliothekarin empfahl (die Schüler) das neue Werk von </w:t>
      </w:r>
      <w:proofErr w:type="spellStart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Twardowski</w:t>
      </w:r>
      <w:proofErr w:type="spellEnd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. </w:t>
      </w:r>
    </w:p>
    <w:p w:rsidR="00383FDD" w:rsidRPr="00383FDD" w:rsidRDefault="00383FDD" w:rsidP="00383FDD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9. </w:t>
      </w:r>
      <w:proofErr w:type="spellStart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Zuschauerraum</w:t>
      </w:r>
      <w:proofErr w:type="spellEnd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(die </w:t>
      </w:r>
      <w:proofErr w:type="spellStart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Oper</w:t>
      </w:r>
      <w:proofErr w:type="spellEnd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war </w:t>
      </w:r>
      <w:proofErr w:type="spellStart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überfüllt</w:t>
      </w:r>
      <w:proofErr w:type="spellEnd"/>
      <w:r w:rsidRPr="00383F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81172C" w:rsidRPr="00383FDD" w:rsidRDefault="0081172C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81172C" w:rsidRPr="00383FDD" w:rsidSect="00383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FDD"/>
    <w:rsid w:val="00383FDD"/>
    <w:rsid w:val="0081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F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83FD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2020-11-18T04:46:00Z</dcterms:created>
  <dcterms:modified xsi:type="dcterms:W3CDTF">2020-11-18T05:02:00Z</dcterms:modified>
</cp:coreProperties>
</file>